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Attachment A (List of Students)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Calibri" w:cs="Calibri" w:eastAsia="Calibri" w:hAnsi="Calibri"/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0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95"/>
        <w:gridCol w:w="7110"/>
        <w:tblGridChange w:id="0">
          <w:tblGrid>
            <w:gridCol w:w="2295"/>
            <w:gridCol w:w="711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3">
            <w:pPr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Student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4">
            <w:pPr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Reasons for Impracticality</w:t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Charlotte Pugh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(1)</w:t>
              <w:tab/>
              <w:t xml:space="preserve">The time and distance required to provide the transportation.</w:t>
            </w:r>
          </w:p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(2)</w:t>
              <w:tab/>
              <w:t xml:space="preserve">The number of pupils to be transported.</w:t>
            </w:r>
          </w:p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(3)</w:t>
              <w:tab/>
              <w:t xml:space="preserve">The cost of providing transportation in terms of equipment, maintenance, personnel, and administration.</w:t>
            </w:r>
          </w:p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(4)</w:t>
              <w:tab/>
              <w:t xml:space="preserve">Whether similar or equivalent service is provided to other pupils eligible for transportation.</w:t>
            </w:r>
          </w:p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(5)</w:t>
              <w:tab/>
              <w:t xml:space="preserve">Whether and to what extent the additional service unavoidably disrupts current transportation schedules;</w:t>
            </w:r>
          </w:p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Calibri" w:cs="Calibri" w:eastAsia="Calibri" w:hAnsi="Calibri"/>
                <w:color w:val="333333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(6)</w:t>
              <w:tab/>
              <w:t xml:space="preserve">Whether other reimbursable types of transportation are available.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MacKenna Pugh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The time and distance required to provide the transportation.</w:t>
            </w:r>
          </w:p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(2)</w:t>
              <w:tab/>
              <w:t xml:space="preserve">The number of pupils to be transported.</w:t>
            </w:r>
          </w:p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(3)</w:t>
              <w:tab/>
              <w:t xml:space="preserve">The cost of providing transportation in terms of equipment, maintenance, personnel, and administration.</w:t>
            </w:r>
          </w:p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(4)</w:t>
              <w:tab/>
              <w:t xml:space="preserve">Whether similar or equivalent service is provided to other pupils eligible for transportation.</w:t>
            </w:r>
          </w:p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(5)</w:t>
              <w:tab/>
              <w:t xml:space="preserve">Whether and to what extent the additional service unavoidably disrupts current transportation schedules;</w:t>
            </w:r>
          </w:p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Calibri" w:cs="Calibri" w:eastAsia="Calibri" w:hAnsi="Calibri"/>
                <w:color w:val="333333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(6)</w:t>
              <w:tab/>
              <w:t xml:space="preserve">Whether other reimbursable types of transportation are available.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